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9AFD" w14:textId="77777777" w:rsidR="00AA6D13" w:rsidRDefault="00AA6D13" w:rsidP="00AC133E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</w:t>
      </w:r>
    </w:p>
    <w:p w14:paraId="14902CC7" w14:textId="2533385B" w:rsidR="00AA6D13" w:rsidRDefault="00AA6D13" w:rsidP="00AA6D13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33B5AC7B" wp14:editId="5BA6B323">
            <wp:extent cx="632460" cy="670560"/>
            <wp:effectExtent l="0" t="0" r="0" b="0"/>
            <wp:docPr id="1" name="Picture 1" descr="C:\Users\Norma\AppData\Local\Microsoft\Windows\INetCache\Content.Outlook\H2R37SEV\CP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\Content.Outlook\H2R37SEV\CPC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7C6C" w14:textId="77777777" w:rsidR="00BF787E" w:rsidRDefault="00AC133E" w:rsidP="00BF787E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Self-evaluation of Safeguarding </w:t>
      </w:r>
      <w:r w:rsidR="00AA6D13">
        <w:rPr>
          <w:rFonts w:ascii="Arial" w:hAnsi="Arial" w:cs="Arial"/>
          <w:b/>
        </w:rPr>
        <w:t>and Ac</w:t>
      </w:r>
      <w:r w:rsidR="00BF787E">
        <w:rPr>
          <w:rFonts w:ascii="Arial" w:hAnsi="Arial" w:cs="Arial"/>
          <w:b/>
        </w:rPr>
        <w:t xml:space="preserve">tion Plan for Community Groups </w:t>
      </w:r>
    </w:p>
    <w:p w14:paraId="781991CA" w14:textId="7DC503DA" w:rsidR="00AA6D13" w:rsidRPr="00BF787E" w:rsidRDefault="00BF787E" w:rsidP="00BF787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F787E">
        <w:rPr>
          <w:rFonts w:ascii="Arial" w:hAnsi="Arial" w:cs="Arial"/>
          <w:b/>
          <w:sz w:val="22"/>
          <w:szCs w:val="22"/>
        </w:rPr>
        <w:t xml:space="preserve">           Name of Group:                        </w:t>
      </w:r>
      <w:r w:rsidR="00AA6D13" w:rsidRPr="00BF787E"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BF787E">
        <w:rPr>
          <w:rFonts w:ascii="Arial" w:hAnsi="Arial" w:cs="Arial"/>
          <w:b/>
          <w:sz w:val="22"/>
          <w:szCs w:val="22"/>
        </w:rPr>
        <w:t xml:space="preserve">                            Date: </w:t>
      </w:r>
    </w:p>
    <w:p w14:paraId="345DA57F" w14:textId="0889C3D0" w:rsidR="00AC133E" w:rsidRDefault="00AC133E" w:rsidP="00BC28A8">
      <w:pPr>
        <w:spacing w:after="200" w:line="276" w:lineRule="auto"/>
        <w:jc w:val="center"/>
        <w:rPr>
          <w:rFonts w:ascii="Arial" w:hAnsi="Arial" w:cs="Arial"/>
          <w:b/>
          <w:i/>
          <w:color w:val="7F7F7F" w:themeColor="text1" w:themeTint="80"/>
          <w:sz w:val="20"/>
          <w:szCs w:val="20"/>
        </w:rPr>
      </w:pPr>
      <w:r w:rsidRPr="00AA6D1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This tool is de</w:t>
      </w:r>
      <w:r w:rsidR="00BE65E2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signed to assist you to think about the safeguarding procedures in place in </w:t>
      </w:r>
      <w:r w:rsidRPr="00AA6D1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your community group linked to the Highland Child Protection Guidance and Too</w:t>
      </w:r>
      <w:r w:rsidR="00BE65E2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lkit for Community Groups and </w:t>
      </w:r>
      <w:r w:rsidRPr="00AA6D1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plan</w:t>
      </w:r>
      <w:r w:rsidR="00BF787E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any</w:t>
      </w:r>
      <w:r w:rsidRPr="00AA6D1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relevant next steps.</w:t>
      </w:r>
      <w:r w:rsidR="00BF787E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</w:t>
      </w:r>
      <w:r w:rsidR="00BC28A8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Complete aspects relevant to your group/</w:t>
      </w:r>
      <w:proofErr w:type="spellStart"/>
      <w:r w:rsidR="00BC28A8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personalise</w:t>
      </w:r>
      <w:proofErr w:type="spellEnd"/>
      <w:r w:rsidR="00BC28A8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to suit your needs</w:t>
      </w:r>
      <w:r w:rsidR="00BF787E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.</w:t>
      </w:r>
      <w:r w:rsidRPr="00AA6D13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 xml:space="preserve"> </w:t>
      </w:r>
    </w:p>
    <w:p w14:paraId="1C44E434" w14:textId="5443AE7F" w:rsidR="006B54AF" w:rsidRPr="00BF787E" w:rsidRDefault="006B54AF" w:rsidP="00BC28A8">
      <w:pPr>
        <w:spacing w:after="200" w:line="276" w:lineRule="auto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What is safeguarding? It is the action that </w:t>
      </w:r>
      <w:r w:rsidR="003801D3"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community groups and </w:t>
      </w: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organisations take to protect children and vulnerable or protected adults (vulnerable beneficiaries) from harm including emotional, </w:t>
      </w:r>
      <w:r w:rsidR="003801D3"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physical, sexual, neglect and financial. </w:t>
      </w: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>Charities</w:t>
      </w:r>
      <w:r w:rsidR="005F4A34"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and community groups</w:t>
      </w: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working with vulnerable beneficiaries must do all they can to keep them safe and protected from harm ensuring appropriate policies, practices and procedures are in place and adhered to.</w:t>
      </w:r>
      <w:r w:rsidR="00BC28A8"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For more </w:t>
      </w:r>
      <w:r w:rsidR="00BD6FC6" w:rsidRPr="00BF787E">
        <w:rPr>
          <w:rFonts w:ascii="Arial" w:hAnsi="Arial" w:cs="Arial"/>
          <w:color w:val="808080" w:themeColor="background1" w:themeShade="80"/>
          <w:sz w:val="22"/>
          <w:szCs w:val="22"/>
        </w:rPr>
        <w:t>in-depth</w:t>
      </w: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information on safegua</w:t>
      </w:r>
      <w:r w:rsidR="00EC6B8E">
        <w:rPr>
          <w:rFonts w:ascii="Arial" w:hAnsi="Arial" w:cs="Arial"/>
          <w:color w:val="808080" w:themeColor="background1" w:themeShade="80"/>
          <w:sz w:val="22"/>
          <w:szCs w:val="22"/>
        </w:rPr>
        <w:t>rding and self-evaluation tools</w:t>
      </w:r>
      <w:r w:rsidR="00953C5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click on the links below or copy</w:t>
      </w:r>
      <w:r w:rsidR="00EC6B8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and paste into your browser:</w:t>
      </w:r>
    </w:p>
    <w:p w14:paraId="19882DC6" w14:textId="41B38C23" w:rsidR="005F4A34" w:rsidRPr="00BF787E" w:rsidRDefault="005F4A34" w:rsidP="006B54AF">
      <w:pPr>
        <w:spacing w:after="200" w:line="276" w:lineRule="auto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High Child Protection Committee </w:t>
      </w:r>
      <w:hyperlink r:id="rId12" w:history="1">
        <w:r w:rsidRPr="00BF787E">
          <w:rPr>
            <w:rStyle w:val="Hyperlink"/>
            <w:rFonts w:ascii="Arial" w:hAnsi="Arial" w:cs="Arial"/>
            <w:sz w:val="22"/>
            <w:szCs w:val="22"/>
          </w:rPr>
          <w:t>www.hcpc.scot</w:t>
        </w:r>
      </w:hyperlink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BF787E">
        <w:rPr>
          <w:rFonts w:ascii="Arial" w:hAnsi="Arial" w:cs="Arial"/>
          <w:sz w:val="22"/>
          <w:szCs w:val="22"/>
        </w:rPr>
        <w:t>or</w:t>
      </w: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hyperlink r:id="rId13" w:history="1">
        <w:r w:rsidRPr="00BF787E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</w:p>
    <w:p w14:paraId="19F36B2C" w14:textId="2C544ED0" w:rsidR="006B54AF" w:rsidRPr="00BF787E" w:rsidRDefault="006B54AF" w:rsidP="006B54AF">
      <w:pPr>
        <w:jc w:val="center"/>
        <w:rPr>
          <w:rStyle w:val="Hyperlink"/>
          <w:rFonts w:ascii="Arial" w:hAnsi="Arial" w:cs="Arial"/>
          <w:color w:val="000080" w:themeColor="hyperlink" w:themeShade="80"/>
          <w:sz w:val="22"/>
          <w:szCs w:val="22"/>
        </w:rPr>
      </w:pP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OSCR (Office of the Scottish Charity Regulator) </w:t>
      </w:r>
      <w:hyperlink r:id="rId14" w:history="1">
        <w:r w:rsidR="00F310CA" w:rsidRPr="00BF787E">
          <w:rPr>
            <w:rStyle w:val="Hyperlink"/>
            <w:sz w:val="22"/>
            <w:szCs w:val="22"/>
          </w:rPr>
          <w:t>https://www.oscr.org.uk/guidance-and-forms/safeguarding-guidance-keeping-vulnerable-beneficiaries-safe/</w:t>
        </w:r>
      </w:hyperlink>
      <w:r w:rsidR="00F310CA" w:rsidRPr="00BF787E">
        <w:rPr>
          <w:sz w:val="22"/>
          <w:szCs w:val="22"/>
        </w:rPr>
        <w:t xml:space="preserve"> </w:t>
      </w:r>
      <w:r w:rsidR="0050420C" w:rsidRPr="00BF787E">
        <w:rPr>
          <w:sz w:val="22"/>
          <w:szCs w:val="22"/>
        </w:rPr>
        <w:t xml:space="preserve">or </w:t>
      </w:r>
      <w:hyperlink r:id="rId15" w:history="1">
        <w:r w:rsidR="0050420C" w:rsidRPr="00BF787E">
          <w:rPr>
            <w:rStyle w:val="Hyperlink"/>
            <w:rFonts w:ascii="Arial" w:hAnsi="Arial" w:cs="Arial"/>
            <w:color w:val="000080" w:themeColor="hyperlink" w:themeShade="80"/>
            <w:sz w:val="22"/>
            <w:szCs w:val="22"/>
          </w:rPr>
          <w:t>Click here</w:t>
        </w:r>
      </w:hyperlink>
    </w:p>
    <w:p w14:paraId="5A40559E" w14:textId="77777777" w:rsidR="005F4A34" w:rsidRPr="00BF787E" w:rsidRDefault="005F4A34" w:rsidP="006B54AF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A632704" w14:textId="5E8EBFD5" w:rsidR="006B54AF" w:rsidRPr="00BF787E" w:rsidRDefault="006B54AF" w:rsidP="006B54AF">
      <w:pPr>
        <w:jc w:val="center"/>
        <w:rPr>
          <w:rStyle w:val="Hyperlink"/>
          <w:rFonts w:ascii="Arial" w:hAnsi="Arial" w:cs="Arial"/>
          <w:color w:val="000080" w:themeColor="hyperlink" w:themeShade="80"/>
          <w:sz w:val="22"/>
          <w:szCs w:val="22"/>
        </w:rPr>
      </w:pPr>
      <w:r w:rsidRPr="00BF787E">
        <w:rPr>
          <w:rFonts w:ascii="Arial" w:hAnsi="Arial" w:cs="Arial"/>
          <w:color w:val="808080" w:themeColor="background1" w:themeShade="80"/>
          <w:sz w:val="22"/>
          <w:szCs w:val="22"/>
        </w:rPr>
        <w:t xml:space="preserve">Top Ten Safeguarding Tips </w:t>
      </w:r>
      <w:hyperlink r:id="rId16" w:history="1">
        <w:r w:rsidR="00F310CA" w:rsidRPr="00BF787E">
          <w:rPr>
            <w:rStyle w:val="Hyperlink"/>
            <w:sz w:val="22"/>
            <w:szCs w:val="22"/>
          </w:rPr>
          <w:t>https://www.oscr.org.uk/media/3128/10-safeguarding-steps.pdf</w:t>
        </w:r>
      </w:hyperlink>
      <w:r w:rsidR="0050420C" w:rsidRPr="00BF787E">
        <w:rPr>
          <w:sz w:val="22"/>
          <w:szCs w:val="22"/>
        </w:rPr>
        <w:t xml:space="preserve"> or </w:t>
      </w:r>
      <w:hyperlink r:id="rId17" w:history="1">
        <w:r w:rsidR="0050420C" w:rsidRPr="00BF787E">
          <w:rPr>
            <w:rStyle w:val="Hyperlink"/>
            <w:rFonts w:ascii="Arial" w:hAnsi="Arial" w:cs="Arial"/>
            <w:color w:val="000080" w:themeColor="hyperlink" w:themeShade="80"/>
            <w:sz w:val="22"/>
            <w:szCs w:val="22"/>
          </w:rPr>
          <w:t>Click here</w:t>
        </w:r>
      </w:hyperlink>
    </w:p>
    <w:p w14:paraId="3E32A64B" w14:textId="77777777" w:rsidR="006B54AF" w:rsidRPr="00BF787E" w:rsidRDefault="006B54AF" w:rsidP="006B54AF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11177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976"/>
        <w:gridCol w:w="1701"/>
        <w:gridCol w:w="1430"/>
      </w:tblGrid>
      <w:tr w:rsidR="00AF6425" w:rsidRPr="00AF6425" w14:paraId="3B2D9AEF" w14:textId="2DE44711" w:rsidTr="006B54AF">
        <w:tc>
          <w:tcPr>
            <w:tcW w:w="3369" w:type="dxa"/>
          </w:tcPr>
          <w:p w14:paraId="0E34DC18" w14:textId="77777777" w:rsidR="00AF6425" w:rsidRPr="00AF6425" w:rsidRDefault="00AF6425" w:rsidP="009774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425">
              <w:rPr>
                <w:rFonts w:ascii="Arial" w:hAnsi="Arial" w:cs="Arial"/>
                <w:b/>
                <w:sz w:val="22"/>
                <w:szCs w:val="22"/>
              </w:rPr>
              <w:t>Aspect of safeguarding</w:t>
            </w:r>
          </w:p>
        </w:tc>
        <w:tc>
          <w:tcPr>
            <w:tcW w:w="1701" w:type="dxa"/>
          </w:tcPr>
          <w:p w14:paraId="2C76F05F" w14:textId="24AA4E78" w:rsidR="00AF6425" w:rsidRPr="00AF6425" w:rsidRDefault="00AA6D13" w:rsidP="00977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place &amp; </w:t>
            </w:r>
            <w:r w:rsidR="00FB354F">
              <w:rPr>
                <w:rFonts w:ascii="Arial" w:hAnsi="Arial" w:cs="Arial"/>
                <w:b/>
                <w:sz w:val="22"/>
                <w:szCs w:val="22"/>
              </w:rPr>
              <w:t>implemented (date)</w:t>
            </w:r>
          </w:p>
        </w:tc>
        <w:tc>
          <w:tcPr>
            <w:tcW w:w="2976" w:type="dxa"/>
          </w:tcPr>
          <w:p w14:paraId="69F04958" w14:textId="77777777" w:rsidR="00AF6425" w:rsidRPr="00AF6425" w:rsidRDefault="00AF6425" w:rsidP="009774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425"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</w:tc>
        <w:tc>
          <w:tcPr>
            <w:tcW w:w="1701" w:type="dxa"/>
          </w:tcPr>
          <w:p w14:paraId="3411E05A" w14:textId="77777777" w:rsidR="00AF6425" w:rsidRDefault="00AF6425" w:rsidP="00977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  <w:p w14:paraId="56EF7378" w14:textId="2CD8AF6B" w:rsidR="00AF6425" w:rsidRPr="00AF6425" w:rsidRDefault="00AF6425" w:rsidP="00977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(date)</w:t>
            </w:r>
          </w:p>
        </w:tc>
        <w:tc>
          <w:tcPr>
            <w:tcW w:w="1430" w:type="dxa"/>
          </w:tcPr>
          <w:p w14:paraId="0FCE63BB" w14:textId="77777777" w:rsidR="00AF6425" w:rsidRDefault="00AF6425" w:rsidP="00977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</w:t>
            </w:r>
          </w:p>
          <w:p w14:paraId="29872DB8" w14:textId="7BD4B7D3" w:rsidR="00AF6425" w:rsidRPr="00AF6425" w:rsidRDefault="00AF6425" w:rsidP="009774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(date)</w:t>
            </w:r>
          </w:p>
        </w:tc>
      </w:tr>
      <w:tr w:rsidR="00C95196" w:rsidRPr="00BF787E" w14:paraId="3D092EEA" w14:textId="77777777" w:rsidTr="006B54AF">
        <w:tc>
          <w:tcPr>
            <w:tcW w:w="3369" w:type="dxa"/>
          </w:tcPr>
          <w:p w14:paraId="67B79D1D" w14:textId="688A7D00" w:rsidR="00C95196" w:rsidRDefault="00C95196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Nominated Chi</w:t>
            </w:r>
            <w:r w:rsidR="00E54C0F" w:rsidRPr="00BF787E">
              <w:rPr>
                <w:rFonts w:ascii="Arial" w:hAnsi="Arial" w:cs="Arial"/>
                <w:sz w:val="22"/>
                <w:szCs w:val="22"/>
              </w:rPr>
              <w:t xml:space="preserve">ld Protection Lead selected, </w:t>
            </w:r>
            <w:r w:rsidRPr="00BF787E">
              <w:rPr>
                <w:rFonts w:ascii="Arial" w:hAnsi="Arial" w:cs="Arial"/>
                <w:sz w:val="22"/>
                <w:szCs w:val="22"/>
              </w:rPr>
              <w:t>vetted</w:t>
            </w:r>
            <w:r w:rsidR="00E54C0F" w:rsidRPr="00BF787E">
              <w:rPr>
                <w:rFonts w:ascii="Arial" w:hAnsi="Arial" w:cs="Arial"/>
                <w:sz w:val="22"/>
                <w:szCs w:val="22"/>
              </w:rPr>
              <w:t xml:space="preserve">, accessed </w:t>
            </w:r>
            <w:r w:rsidR="00BF787E">
              <w:rPr>
                <w:rFonts w:ascii="Arial" w:hAnsi="Arial" w:cs="Arial"/>
                <w:sz w:val="22"/>
                <w:szCs w:val="22"/>
              </w:rPr>
              <w:t xml:space="preserve">appropriate level of </w:t>
            </w:r>
            <w:r w:rsidR="00E54C0F" w:rsidRPr="00BF787E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71805E18" w14:textId="4D8D6C71" w:rsidR="00BF787E" w:rsidRDefault="00BF787E" w:rsidP="00C951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8" w:history="1">
              <w:r w:rsidRPr="00E96DBB">
                <w:rPr>
                  <w:rStyle w:val="Hyperlink"/>
                  <w:rFonts w:ascii="Arial" w:hAnsi="Arial" w:cs="Arial"/>
                  <w:sz w:val="22"/>
                  <w:szCs w:val="22"/>
                </w:rPr>
                <w:t>www.hcpc.scot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D93644" w14:textId="4342989C" w:rsidR="00FB354F" w:rsidRPr="00BF787E" w:rsidRDefault="00FB354F" w:rsidP="00C95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03AEFD" w14:textId="77777777" w:rsidR="00C95196" w:rsidRPr="00BF787E" w:rsidRDefault="00C95196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5CE30D" w14:textId="77777777" w:rsidR="00C95196" w:rsidRPr="00BF787E" w:rsidRDefault="00C95196" w:rsidP="00977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7F139B" w14:textId="77777777" w:rsidR="00C95196" w:rsidRPr="00BF787E" w:rsidRDefault="00C95196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4200FC0" w14:textId="77777777" w:rsidR="00C95196" w:rsidRPr="00BF787E" w:rsidRDefault="00C95196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425" w:rsidRPr="00BF787E" w14:paraId="7089F578" w14:textId="77777777" w:rsidTr="006B54AF">
        <w:tc>
          <w:tcPr>
            <w:tcW w:w="3369" w:type="dxa"/>
          </w:tcPr>
          <w:p w14:paraId="48F2F342" w14:textId="579BE53B" w:rsidR="00FB354F" w:rsidRPr="00BF787E" w:rsidRDefault="00C95196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Child Protection Policy</w:t>
            </w:r>
            <w:r w:rsidR="00FB354F" w:rsidRPr="00BF7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8A8" w:rsidRPr="00BF787E">
              <w:rPr>
                <w:rFonts w:ascii="Arial" w:hAnsi="Arial" w:cs="Arial"/>
                <w:sz w:val="22"/>
                <w:szCs w:val="22"/>
              </w:rPr>
              <w:t xml:space="preserve">in place </w:t>
            </w:r>
            <w:r w:rsidR="00FB354F" w:rsidRPr="00BF787E">
              <w:rPr>
                <w:rFonts w:ascii="Arial" w:hAnsi="Arial" w:cs="Arial"/>
                <w:sz w:val="22"/>
                <w:szCs w:val="22"/>
              </w:rPr>
              <w:t>(reviewed annually)</w:t>
            </w:r>
          </w:p>
          <w:p w14:paraId="6676696E" w14:textId="77777777" w:rsidR="00AF6425" w:rsidRPr="00BF787E" w:rsidRDefault="009774E4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 xml:space="preserve"> (P 9,10,11)</w:t>
            </w:r>
          </w:p>
          <w:p w14:paraId="0A1E4EB3" w14:textId="2B6AFE13" w:rsidR="00FB354F" w:rsidRPr="00BF787E" w:rsidRDefault="00FB354F" w:rsidP="00C95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BDD3A9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9602329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DE1CB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7C1C10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64D5A31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425" w:rsidRPr="00BF787E" w14:paraId="2B7F718D" w14:textId="77777777" w:rsidTr="006B54AF">
        <w:tc>
          <w:tcPr>
            <w:tcW w:w="3369" w:type="dxa"/>
          </w:tcPr>
          <w:p w14:paraId="579767D0" w14:textId="388B3447" w:rsidR="00AC133E" w:rsidRPr="00BF787E" w:rsidRDefault="00C95196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 xml:space="preserve">Child Protection Policy </w:t>
            </w:r>
            <w:r w:rsidR="009774E4" w:rsidRPr="00BF787E">
              <w:rPr>
                <w:rFonts w:ascii="Arial" w:hAnsi="Arial" w:cs="Arial"/>
                <w:sz w:val="22"/>
                <w:szCs w:val="22"/>
              </w:rPr>
              <w:t xml:space="preserve">and Responding to Child Protection Concerns Tool </w:t>
            </w:r>
            <w:r w:rsidR="00FB354F" w:rsidRPr="00BF787E">
              <w:rPr>
                <w:rFonts w:ascii="Arial" w:hAnsi="Arial" w:cs="Arial"/>
                <w:sz w:val="22"/>
                <w:szCs w:val="22"/>
              </w:rPr>
              <w:t>with contact numbers prominently displayed</w:t>
            </w:r>
            <w:r w:rsidR="00BC28A8" w:rsidRPr="00BF787E">
              <w:rPr>
                <w:rFonts w:ascii="Arial" w:hAnsi="Arial" w:cs="Arial"/>
                <w:sz w:val="22"/>
                <w:szCs w:val="22"/>
              </w:rPr>
              <w:t xml:space="preserve"> (P 9, 10, 19)</w:t>
            </w:r>
          </w:p>
          <w:p w14:paraId="3B6EA197" w14:textId="38CBDBF0" w:rsidR="00FB354F" w:rsidRPr="00BF787E" w:rsidRDefault="00FB354F" w:rsidP="00C95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39EACF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F1CF95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B54C71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F423F33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425" w:rsidRPr="00BF787E" w14:paraId="7247310C" w14:textId="77777777" w:rsidTr="006B54AF">
        <w:tc>
          <w:tcPr>
            <w:tcW w:w="3369" w:type="dxa"/>
          </w:tcPr>
          <w:p w14:paraId="4F034F57" w14:textId="54C1D912" w:rsidR="00AC133E" w:rsidRPr="00BF787E" w:rsidRDefault="00C95196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Committee</w:t>
            </w:r>
            <w:r w:rsidR="00E54C0F" w:rsidRPr="00BF787E">
              <w:rPr>
                <w:rFonts w:ascii="Arial" w:hAnsi="Arial" w:cs="Arial"/>
                <w:sz w:val="22"/>
                <w:szCs w:val="22"/>
              </w:rPr>
              <w:t>, staff and volunteers aware of</w:t>
            </w:r>
            <w:r w:rsidRPr="00BF787E">
              <w:rPr>
                <w:rFonts w:ascii="Arial" w:hAnsi="Arial" w:cs="Arial"/>
                <w:sz w:val="22"/>
                <w:szCs w:val="22"/>
              </w:rPr>
              <w:t>, have read and understood policy</w:t>
            </w:r>
            <w:r w:rsidR="00261426">
              <w:rPr>
                <w:rFonts w:ascii="Arial" w:hAnsi="Arial" w:cs="Arial"/>
                <w:sz w:val="22"/>
                <w:szCs w:val="22"/>
              </w:rPr>
              <w:t xml:space="preserve"> and refresh annually</w:t>
            </w:r>
          </w:p>
          <w:p w14:paraId="18D03C3A" w14:textId="3886A75A" w:rsidR="00FB354F" w:rsidRPr="00BF787E" w:rsidRDefault="00FB354F" w:rsidP="00C95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337AB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B9B503F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625269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7005199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C0F" w:rsidRPr="00BF787E" w14:paraId="783902F1" w14:textId="77777777" w:rsidTr="006B54AF">
        <w:tc>
          <w:tcPr>
            <w:tcW w:w="3369" w:type="dxa"/>
          </w:tcPr>
          <w:p w14:paraId="3E32CF96" w14:textId="5546D2DF" w:rsidR="00E54C0F" w:rsidRPr="00BF787E" w:rsidRDefault="00E54C0F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Committee, staff and volunteers encouraged to access free Child Protection e-module (</w:t>
            </w:r>
            <w:hyperlink r:id="rId19" w:history="1">
              <w:r w:rsidRPr="00BF787E">
                <w:rPr>
                  <w:rStyle w:val="Hyperlink"/>
                  <w:rFonts w:ascii="Arial" w:hAnsi="Arial" w:cs="Arial"/>
                  <w:sz w:val="22"/>
                  <w:szCs w:val="22"/>
                </w:rPr>
                <w:t>www.hcpc.scot</w:t>
              </w:r>
            </w:hyperlink>
            <w:r w:rsidRPr="00BF787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0732C4BB" w14:textId="77777777" w:rsidR="00E54C0F" w:rsidRPr="00BF787E" w:rsidRDefault="00E54C0F" w:rsidP="00C95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B1ED1C" w14:textId="77777777" w:rsidR="00E54C0F" w:rsidRPr="00BF787E" w:rsidRDefault="00E54C0F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1E22755" w14:textId="77777777" w:rsidR="00E54C0F" w:rsidRPr="00BF787E" w:rsidRDefault="00E54C0F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BD1C1" w14:textId="77777777" w:rsidR="00E54C0F" w:rsidRPr="00BF787E" w:rsidRDefault="00E54C0F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C7AA5D7" w14:textId="77777777" w:rsidR="00E54C0F" w:rsidRPr="00BF787E" w:rsidRDefault="00E54C0F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425" w:rsidRPr="00BF787E" w14:paraId="2563EC29" w14:textId="77777777" w:rsidTr="006B54AF">
        <w:tc>
          <w:tcPr>
            <w:tcW w:w="3369" w:type="dxa"/>
          </w:tcPr>
          <w:p w14:paraId="6E314678" w14:textId="4F18B295" w:rsidR="00AC133E" w:rsidRPr="00BF787E" w:rsidRDefault="00C95196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Child protection concerns</w:t>
            </w:r>
            <w:r w:rsidR="00BC28A8" w:rsidRPr="00BF787E">
              <w:rPr>
                <w:rFonts w:ascii="Arial" w:hAnsi="Arial" w:cs="Arial"/>
                <w:sz w:val="22"/>
                <w:szCs w:val="22"/>
              </w:rPr>
              <w:t xml:space="preserve"> and children’s disclosures are</w:t>
            </w:r>
            <w:r w:rsidRPr="00BF787E">
              <w:rPr>
                <w:rFonts w:ascii="Arial" w:hAnsi="Arial" w:cs="Arial"/>
                <w:sz w:val="22"/>
                <w:szCs w:val="22"/>
              </w:rPr>
              <w:t xml:space="preserve"> recorded and shared</w:t>
            </w:r>
            <w:r w:rsidR="00FB354F" w:rsidRPr="00BF787E">
              <w:rPr>
                <w:rFonts w:ascii="Arial" w:hAnsi="Arial" w:cs="Arial"/>
                <w:sz w:val="22"/>
                <w:szCs w:val="22"/>
              </w:rPr>
              <w:t xml:space="preserve"> in line with policy</w:t>
            </w:r>
            <w:r w:rsidR="00BC28A8" w:rsidRPr="00BF787E">
              <w:rPr>
                <w:rFonts w:ascii="Arial" w:hAnsi="Arial" w:cs="Arial"/>
                <w:sz w:val="22"/>
                <w:szCs w:val="22"/>
              </w:rPr>
              <w:t xml:space="preserve"> (P 6, 19)</w:t>
            </w:r>
          </w:p>
          <w:p w14:paraId="5F75F736" w14:textId="24BD1C09" w:rsidR="00FB354F" w:rsidRPr="00BF787E" w:rsidRDefault="00FB354F" w:rsidP="00C95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99ABA2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15A3799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13C8F0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B108FA7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8A8" w:rsidRPr="00BF787E" w14:paraId="00C4EB9E" w14:textId="77777777" w:rsidTr="006B54AF">
        <w:tc>
          <w:tcPr>
            <w:tcW w:w="3369" w:type="dxa"/>
          </w:tcPr>
          <w:p w14:paraId="1D8FCA97" w14:textId="2AEDE65A" w:rsidR="00BC28A8" w:rsidRPr="00BF787E" w:rsidRDefault="00BC28A8" w:rsidP="00BC28A8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lastRenderedPageBreak/>
              <w:t xml:space="preserve">Robust recruitment and induction of </w:t>
            </w:r>
            <w:r w:rsidR="00BF787E" w:rsidRPr="00BF787E">
              <w:rPr>
                <w:rFonts w:ascii="Arial" w:hAnsi="Arial" w:cs="Arial"/>
                <w:sz w:val="22"/>
                <w:szCs w:val="22"/>
              </w:rPr>
              <w:t>committee/</w:t>
            </w:r>
            <w:r w:rsidRPr="00BF787E">
              <w:rPr>
                <w:rFonts w:ascii="Arial" w:hAnsi="Arial" w:cs="Arial"/>
                <w:sz w:val="22"/>
                <w:szCs w:val="22"/>
              </w:rPr>
              <w:t>staff/volunteers including PVG, references</w:t>
            </w:r>
            <w:r w:rsidR="00BF787E" w:rsidRPr="00BF787E">
              <w:rPr>
                <w:rFonts w:ascii="Arial" w:hAnsi="Arial" w:cs="Arial"/>
                <w:sz w:val="22"/>
                <w:szCs w:val="22"/>
              </w:rPr>
              <w:t xml:space="preserve">, personal profile </w:t>
            </w:r>
            <w:r w:rsidRPr="00BF787E">
              <w:rPr>
                <w:rFonts w:ascii="Arial" w:hAnsi="Arial" w:cs="Arial"/>
                <w:sz w:val="22"/>
                <w:szCs w:val="22"/>
              </w:rPr>
              <w:t>(P 3,4, 12 -16)</w:t>
            </w:r>
          </w:p>
          <w:p w14:paraId="5F8DC3AA" w14:textId="77777777" w:rsidR="00BC28A8" w:rsidRPr="00BF787E" w:rsidRDefault="00BC28A8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9832CD" w14:textId="77777777" w:rsidR="00BC28A8" w:rsidRPr="00BF787E" w:rsidRDefault="00BC28A8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E1C321" w14:textId="77777777" w:rsidR="00BC28A8" w:rsidRPr="00BF787E" w:rsidRDefault="00BC28A8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7AEF7" w14:textId="77777777" w:rsidR="00BC28A8" w:rsidRPr="00BF787E" w:rsidRDefault="00BC28A8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ED01BBD" w14:textId="77777777" w:rsidR="00BC28A8" w:rsidRPr="00BF787E" w:rsidRDefault="00BC28A8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425" w:rsidRPr="00BF787E" w14:paraId="640663DC" w14:textId="77777777" w:rsidTr="006B54AF">
        <w:tc>
          <w:tcPr>
            <w:tcW w:w="3369" w:type="dxa"/>
          </w:tcPr>
          <w:p w14:paraId="3C283CF4" w14:textId="77A452FD" w:rsidR="00AC133E" w:rsidRPr="00BF787E" w:rsidRDefault="00FD0E38" w:rsidP="00C95196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R</w:t>
            </w:r>
            <w:r w:rsidR="00BF787E" w:rsidRPr="00BF787E">
              <w:rPr>
                <w:rFonts w:ascii="Arial" w:hAnsi="Arial" w:cs="Arial"/>
                <w:sz w:val="22"/>
                <w:szCs w:val="22"/>
              </w:rPr>
              <w:t>ecords,</w:t>
            </w:r>
            <w:r w:rsidR="00FB354F" w:rsidRPr="00BF7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787E" w:rsidRPr="00BF787E">
              <w:rPr>
                <w:rFonts w:ascii="Arial" w:hAnsi="Arial" w:cs="Arial"/>
                <w:sz w:val="22"/>
                <w:szCs w:val="22"/>
              </w:rPr>
              <w:t xml:space="preserve">information including disclosure </w:t>
            </w:r>
            <w:r w:rsidR="00C95196" w:rsidRPr="00BF787E">
              <w:rPr>
                <w:rFonts w:ascii="Arial" w:hAnsi="Arial" w:cs="Arial"/>
                <w:sz w:val="22"/>
                <w:szCs w:val="22"/>
              </w:rPr>
              <w:t xml:space="preserve">retained securely in line with </w:t>
            </w:r>
            <w:r w:rsidRPr="00BF787E">
              <w:rPr>
                <w:rFonts w:ascii="Arial" w:hAnsi="Arial" w:cs="Arial"/>
                <w:sz w:val="22"/>
                <w:szCs w:val="22"/>
              </w:rPr>
              <w:t xml:space="preserve">General Data Protection Regulation (GDPR) </w:t>
            </w:r>
            <w:r w:rsidR="00E54C0F" w:rsidRPr="00BF787E">
              <w:rPr>
                <w:rFonts w:ascii="Arial" w:hAnsi="Arial" w:cs="Arial"/>
                <w:sz w:val="22"/>
                <w:szCs w:val="22"/>
              </w:rPr>
              <w:t>(P 7</w:t>
            </w:r>
            <w:r w:rsidR="00706F6F" w:rsidRPr="00BF787E">
              <w:rPr>
                <w:rFonts w:ascii="Arial" w:hAnsi="Arial" w:cs="Arial"/>
                <w:sz w:val="22"/>
                <w:szCs w:val="22"/>
              </w:rPr>
              <w:t>, 8</w:t>
            </w:r>
            <w:r w:rsidR="00BF787E" w:rsidRPr="00BF787E">
              <w:rPr>
                <w:rFonts w:ascii="Arial" w:hAnsi="Arial" w:cs="Arial"/>
                <w:sz w:val="22"/>
                <w:szCs w:val="22"/>
              </w:rPr>
              <w:t>, 18</w:t>
            </w:r>
            <w:r w:rsidR="00E54C0F" w:rsidRPr="00BF787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28EC9A" w14:textId="30BBEEA4" w:rsidR="00FB354F" w:rsidRPr="00BF787E" w:rsidRDefault="00FB354F" w:rsidP="00C95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099002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8E6822F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1CF64D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821CEC7" w14:textId="77777777" w:rsidR="00AF6425" w:rsidRPr="00BF787E" w:rsidRDefault="00AF6425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33E" w:rsidRPr="00BF787E" w14:paraId="62D33B90" w14:textId="77777777" w:rsidTr="006B54AF">
        <w:tc>
          <w:tcPr>
            <w:tcW w:w="3369" w:type="dxa"/>
          </w:tcPr>
          <w:p w14:paraId="789B7954" w14:textId="77777777" w:rsidR="00BF787E" w:rsidRPr="00BF787E" w:rsidRDefault="00BF787E" w:rsidP="00BF787E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Procedure for transporting children (P 4/5)</w:t>
            </w:r>
          </w:p>
          <w:p w14:paraId="11513862" w14:textId="47ABD9DA" w:rsidR="00FB354F" w:rsidRPr="00BF787E" w:rsidRDefault="00FB354F" w:rsidP="00BC28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ECC45E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D362FE6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D87E2C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CA0F653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D1BE0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33E" w:rsidRPr="00BF787E" w14:paraId="6F756AFF" w14:textId="77777777" w:rsidTr="006B54AF">
        <w:tc>
          <w:tcPr>
            <w:tcW w:w="3369" w:type="dxa"/>
          </w:tcPr>
          <w:p w14:paraId="292AC9D9" w14:textId="77777777" w:rsidR="00BF787E" w:rsidRPr="00BF787E" w:rsidRDefault="00BF787E" w:rsidP="00BF787E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Procedure for photographing, videoing, filming (P 5)</w:t>
            </w:r>
          </w:p>
          <w:p w14:paraId="6FB784F3" w14:textId="7448B505" w:rsidR="00FB354F" w:rsidRPr="00BF787E" w:rsidRDefault="00FB354F" w:rsidP="00BF7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7450D7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F4E3DF7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AC224A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696A13E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AC70F0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33E" w:rsidRPr="00BF787E" w14:paraId="224A407D" w14:textId="77777777" w:rsidTr="006B54AF">
        <w:tc>
          <w:tcPr>
            <w:tcW w:w="3369" w:type="dxa"/>
          </w:tcPr>
          <w:p w14:paraId="1350F4AA" w14:textId="77777777" w:rsidR="00BF787E" w:rsidRPr="00BF787E" w:rsidRDefault="00BF787E" w:rsidP="00BF787E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Procedure for publications, websites (P 5)</w:t>
            </w:r>
          </w:p>
          <w:p w14:paraId="2FE45497" w14:textId="1B1BB804" w:rsidR="00FB354F" w:rsidRPr="00BF787E" w:rsidRDefault="00FB354F" w:rsidP="00BF7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8DE943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3AA954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7EA3E7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662AB16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33E" w:rsidRPr="00BF787E" w14:paraId="063C4A1D" w14:textId="77777777" w:rsidTr="006B54AF">
        <w:tc>
          <w:tcPr>
            <w:tcW w:w="3369" w:type="dxa"/>
          </w:tcPr>
          <w:p w14:paraId="116F31F8" w14:textId="7610AEDD" w:rsidR="00AC133E" w:rsidRPr="00BF787E" w:rsidRDefault="00BF787E" w:rsidP="00E54C0F">
            <w:pPr>
              <w:rPr>
                <w:rFonts w:ascii="Arial" w:hAnsi="Arial" w:cs="Arial"/>
                <w:sz w:val="22"/>
                <w:szCs w:val="22"/>
              </w:rPr>
            </w:pPr>
            <w:r w:rsidRPr="00BF787E">
              <w:rPr>
                <w:rFonts w:ascii="Arial" w:hAnsi="Arial" w:cs="Arial"/>
                <w:sz w:val="22"/>
                <w:szCs w:val="22"/>
              </w:rPr>
              <w:t>Tips for child protection and good practice shared with staff/volunteers (P 17, 20)</w:t>
            </w:r>
          </w:p>
          <w:p w14:paraId="0981AA1A" w14:textId="4BEBD0F4" w:rsidR="00FB354F" w:rsidRPr="00BF787E" w:rsidRDefault="00FB354F" w:rsidP="00BF78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677033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1483CAD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4CA51E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14:paraId="51F3F4AE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675BDF" w14:textId="77777777" w:rsidR="00AC133E" w:rsidRPr="00BF787E" w:rsidRDefault="00AC133E" w:rsidP="00977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4CE9E" w14:textId="77777777" w:rsidR="00AF6425" w:rsidRPr="00BF787E" w:rsidRDefault="00AF6425" w:rsidP="00AF6425">
      <w:pPr>
        <w:rPr>
          <w:rFonts w:ascii="Arial" w:hAnsi="Arial" w:cs="Arial"/>
          <w:sz w:val="22"/>
          <w:szCs w:val="22"/>
        </w:rPr>
      </w:pPr>
    </w:p>
    <w:p w14:paraId="5EFE2D0A" w14:textId="1175912C" w:rsidR="00571CAA" w:rsidRPr="00BF787E" w:rsidRDefault="00AF6425" w:rsidP="00AF6425">
      <w:pPr>
        <w:rPr>
          <w:rFonts w:ascii="Arial" w:hAnsi="Arial" w:cs="Arial"/>
          <w:sz w:val="22"/>
          <w:szCs w:val="22"/>
        </w:rPr>
      </w:pPr>
      <w:r w:rsidRPr="00BF787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18750DA7" w14:textId="665CE483" w:rsidR="000A1F86" w:rsidRPr="00BF787E" w:rsidRDefault="000A1F86" w:rsidP="000A1F86">
      <w:pPr>
        <w:rPr>
          <w:sz w:val="22"/>
          <w:szCs w:val="22"/>
        </w:rPr>
      </w:pPr>
    </w:p>
    <w:p w14:paraId="6A6BFBC4" w14:textId="34CE985E" w:rsidR="000A1F86" w:rsidRPr="00BF787E" w:rsidRDefault="000A1F86" w:rsidP="000A1F86">
      <w:pPr>
        <w:rPr>
          <w:rFonts w:asciiTheme="minorHAnsi" w:hAnsiTheme="minorHAnsi"/>
          <w:sz w:val="22"/>
          <w:szCs w:val="22"/>
        </w:rPr>
      </w:pPr>
    </w:p>
    <w:p w14:paraId="4AD762E8" w14:textId="77777777" w:rsidR="000A1F86" w:rsidRPr="00BF787E" w:rsidRDefault="000A1F86" w:rsidP="00AF6425">
      <w:pPr>
        <w:rPr>
          <w:sz w:val="22"/>
          <w:szCs w:val="22"/>
        </w:rPr>
      </w:pPr>
    </w:p>
    <w:sectPr w:rsidR="000A1F86" w:rsidRPr="00BF787E" w:rsidSect="00EC6B8E">
      <w:footerReference w:type="default" r:id="rId20"/>
      <w:pgSz w:w="11906" w:h="16838"/>
      <w:pgMar w:top="113" w:right="510" w:bottom="227" w:left="51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6A30BB" w15:done="0"/>
  <w15:commentEx w15:paraId="77E88D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6A30BB" w16cid:durableId="20A9F0FE"/>
  <w16cid:commentId w16cid:paraId="77E88D7D" w16cid:durableId="20A9F1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BAB4" w14:textId="77777777" w:rsidR="002B74CF" w:rsidRDefault="002B74CF">
      <w:r>
        <w:separator/>
      </w:r>
    </w:p>
  </w:endnote>
  <w:endnote w:type="continuationSeparator" w:id="0">
    <w:p w14:paraId="70E8E3FD" w14:textId="77777777" w:rsidR="002B74CF" w:rsidRDefault="002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D683" w14:textId="5C68FAAE" w:rsidR="009774E4" w:rsidRPr="00B8290C" w:rsidRDefault="009774E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818F0" w14:textId="77777777" w:rsidR="002B74CF" w:rsidRDefault="002B74CF">
      <w:r>
        <w:separator/>
      </w:r>
    </w:p>
  </w:footnote>
  <w:footnote w:type="continuationSeparator" w:id="0">
    <w:p w14:paraId="77355BE6" w14:textId="77777777" w:rsidR="002B74CF" w:rsidRDefault="002B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AEB"/>
    <w:multiLevelType w:val="hybridMultilevel"/>
    <w:tmpl w:val="28AC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55EE"/>
    <w:multiLevelType w:val="hybridMultilevel"/>
    <w:tmpl w:val="F9806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n Laidlaw">
    <w15:presenceInfo w15:providerId="Windows Live" w15:userId="15006148e3af0f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6"/>
    <w:rsid w:val="000122EB"/>
    <w:rsid w:val="000A1F86"/>
    <w:rsid w:val="00205A52"/>
    <w:rsid w:val="00261426"/>
    <w:rsid w:val="002B74CF"/>
    <w:rsid w:val="003801D3"/>
    <w:rsid w:val="0050420C"/>
    <w:rsid w:val="00540AC6"/>
    <w:rsid w:val="00571CAA"/>
    <w:rsid w:val="005A5AB9"/>
    <w:rsid w:val="005F4A34"/>
    <w:rsid w:val="006B4B31"/>
    <w:rsid w:val="006B54AF"/>
    <w:rsid w:val="00706F6F"/>
    <w:rsid w:val="007C675A"/>
    <w:rsid w:val="00882F26"/>
    <w:rsid w:val="00953C59"/>
    <w:rsid w:val="009774E4"/>
    <w:rsid w:val="00A21627"/>
    <w:rsid w:val="00A31F19"/>
    <w:rsid w:val="00A93243"/>
    <w:rsid w:val="00A947A4"/>
    <w:rsid w:val="00AA6D13"/>
    <w:rsid w:val="00AC133E"/>
    <w:rsid w:val="00AC3BD7"/>
    <w:rsid w:val="00AF6425"/>
    <w:rsid w:val="00B02D65"/>
    <w:rsid w:val="00B32D06"/>
    <w:rsid w:val="00B8290C"/>
    <w:rsid w:val="00BC28A8"/>
    <w:rsid w:val="00BD6FC6"/>
    <w:rsid w:val="00BE65E2"/>
    <w:rsid w:val="00BF787E"/>
    <w:rsid w:val="00C95196"/>
    <w:rsid w:val="00DD66B7"/>
    <w:rsid w:val="00E54C0F"/>
    <w:rsid w:val="00EC6B8E"/>
    <w:rsid w:val="00EF5688"/>
    <w:rsid w:val="00F310CA"/>
    <w:rsid w:val="00F62B23"/>
    <w:rsid w:val="00FB354F"/>
    <w:rsid w:val="00FD0E38"/>
    <w:rsid w:val="0AD3A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1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1F8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A1F86"/>
    <w:rPr>
      <w:i/>
      <w:iCs/>
    </w:rPr>
  </w:style>
  <w:style w:type="paragraph" w:styleId="ListParagraph">
    <w:name w:val="List Paragraph"/>
    <w:basedOn w:val="Normal"/>
    <w:uiPriority w:val="34"/>
    <w:qFormat/>
    <w:rsid w:val="000A1F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0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FC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1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1F8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A1F86"/>
    <w:rPr>
      <w:i/>
      <w:iCs/>
    </w:rPr>
  </w:style>
  <w:style w:type="paragraph" w:styleId="ListParagraph">
    <w:name w:val="List Paragraph"/>
    <w:basedOn w:val="Normal"/>
    <w:uiPriority w:val="34"/>
    <w:qFormat/>
    <w:rsid w:val="000A1F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0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F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FC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pc.scot" TargetMode="External"/><Relationship Id="rId18" Type="http://schemas.openxmlformats.org/officeDocument/2006/relationships/hyperlink" Target="http://www.hcpc.sco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hcpc.scot" TargetMode="External"/><Relationship Id="rId17" Type="http://schemas.openxmlformats.org/officeDocument/2006/relationships/hyperlink" Target="https://www.oscr.org.uk/media/3128/10-safeguarding-steps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cr.org.uk/media/3128/10-safeguarding-step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www.oscr.org.uk/guidance-and-forms/safeguarding-guidance-keeping-vulnerable-beneficiaries-safe/" TargetMode="External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hyperlink" Target="http://www.hcpc.scot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oscr.org.uk/guidance-and-forms/safeguarding-guidance-keeping-vulnerable-beneficiaries-saf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70B18E91E479D08EA952D2F0A83" ma:contentTypeVersion="9" ma:contentTypeDescription="Create a new document." ma:contentTypeScope="" ma:versionID="3b18c26fb805a592a460f277504878ac">
  <xsd:schema xmlns:xsd="http://www.w3.org/2001/XMLSchema" xmlns:xs="http://www.w3.org/2001/XMLSchema" xmlns:p="http://schemas.microsoft.com/office/2006/metadata/properties" xmlns:ns2="20b369df-aba2-4a74-b36e-368f9195a0c5" xmlns:ns3="63ce9d91-1356-4474-8c65-5f49fc3a7cd1" targetNamespace="http://schemas.microsoft.com/office/2006/metadata/properties" ma:root="true" ma:fieldsID="bf54513a7c56a7a11dddbe3ea31f4a80" ns2:_="" ns3:_="">
    <xsd:import namespace="20b369df-aba2-4a74-b36e-368f9195a0c5"/>
    <xsd:import namespace="63ce9d91-1356-4474-8c65-5f49fc3a7c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69df-aba2-4a74-b36e-368f9195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9d91-1356-4474-8c65-5f49fc3a7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AFCD5-1BD5-4945-9E13-16394910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369df-aba2-4a74-b36e-368f9195a0c5"/>
    <ds:schemaRef ds:uri="63ce9d91-1356-4474-8c65-5f49fc3a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90D58-0E2A-458C-9A8D-480AC5D14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D7EFB-AC59-4A92-9780-3FE003602A06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63ce9d91-1356-4474-8c65-5f49fc3a7cd1"/>
    <ds:schemaRef ds:uri="http://schemas.openxmlformats.org/package/2006/metadata/core-properties"/>
    <ds:schemaRef ds:uri="http://purl.org/dc/dcmitype/"/>
    <ds:schemaRef ds:uri="http://www.w3.org/XML/1998/namespace"/>
    <ds:schemaRef ds:uri="20b369df-aba2-4a74-b36e-368f9195a0c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Donna Munro</cp:lastModifiedBy>
  <cp:revision>2</cp:revision>
  <dcterms:created xsi:type="dcterms:W3CDTF">2019-07-11T14:37:00Z</dcterms:created>
  <dcterms:modified xsi:type="dcterms:W3CDTF">2019-07-11T14:37:00Z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0x01010046E9B70B18E91E479D08EA952D2F0A83</vt:lpwstr>
  </property>
</Properties>
</file>